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188FB" w14:textId="77777777" w:rsidR="00D0174C" w:rsidRPr="00D0174C" w:rsidRDefault="00D0174C" w:rsidP="00D0174C">
      <w:pPr>
        <w:spacing w:after="0" w:line="319" w:lineRule="auto"/>
        <w:rPr>
          <w:rFonts w:eastAsia="Arial" w:cstheme="minorHAnsi"/>
          <w:b/>
          <w:kern w:val="0"/>
          <w:sz w:val="28"/>
          <w:szCs w:val="28"/>
          <w:lang w:val="pl" w:eastAsia="pl-PL"/>
          <w14:ligatures w14:val="none"/>
        </w:rPr>
      </w:pPr>
      <w:bookmarkStart w:id="0" w:name="_Hlk87018852"/>
      <w:bookmarkStart w:id="1" w:name="_Hlk77347627"/>
    </w:p>
    <w:p w14:paraId="1A114131" w14:textId="0E1819BE" w:rsidR="00D0174C" w:rsidRPr="00D0174C" w:rsidRDefault="00D0174C" w:rsidP="00D0174C">
      <w:pPr>
        <w:spacing w:after="0" w:line="319" w:lineRule="auto"/>
        <w:jc w:val="right"/>
        <w:rPr>
          <w:rFonts w:eastAsia="Arial" w:cstheme="minorHAnsi"/>
          <w:kern w:val="0"/>
          <w:lang w:eastAsia="pl-PL"/>
          <w14:ligatures w14:val="none"/>
        </w:rPr>
      </w:pPr>
      <w:r w:rsidRPr="00D0174C">
        <w:rPr>
          <w:rFonts w:eastAsia="Arial" w:cstheme="minorHAnsi"/>
          <w:kern w:val="0"/>
          <w:lang w:eastAsia="pl-PL"/>
          <w14:ligatures w14:val="none"/>
        </w:rPr>
        <w:t xml:space="preserve">Dopiewo, dnia </w:t>
      </w:r>
      <w:r w:rsidR="003E7547">
        <w:rPr>
          <w:rFonts w:eastAsia="Arial" w:cstheme="minorHAnsi"/>
          <w:kern w:val="0"/>
          <w:lang w:eastAsia="pl-PL"/>
          <w14:ligatures w14:val="none"/>
        </w:rPr>
        <w:t>10</w:t>
      </w:r>
      <w:r w:rsidRPr="00D0174C">
        <w:rPr>
          <w:rFonts w:eastAsia="Arial" w:cstheme="minorHAnsi"/>
          <w:kern w:val="0"/>
          <w:lang w:eastAsia="pl-PL"/>
          <w14:ligatures w14:val="none"/>
        </w:rPr>
        <w:t xml:space="preserve">  października 2024r.</w:t>
      </w:r>
    </w:p>
    <w:p w14:paraId="22FEB0BF" w14:textId="77777777" w:rsidR="00D0174C" w:rsidRPr="00D0174C" w:rsidRDefault="00D0174C" w:rsidP="00D0174C">
      <w:pPr>
        <w:spacing w:after="0" w:line="319" w:lineRule="auto"/>
        <w:jc w:val="both"/>
        <w:rPr>
          <w:rFonts w:eastAsia="Arial" w:cstheme="minorHAnsi"/>
          <w:kern w:val="0"/>
          <w:lang w:eastAsia="pl-PL"/>
          <w14:ligatures w14:val="none"/>
        </w:rPr>
      </w:pPr>
      <w:r w:rsidRPr="00D0174C">
        <w:rPr>
          <w:rFonts w:eastAsia="Arial" w:cstheme="minorHAnsi"/>
          <w:kern w:val="0"/>
          <w:lang w:eastAsia="pl-PL"/>
          <w14:ligatures w14:val="none"/>
        </w:rPr>
        <w:t>ROA.271.25.2024</w:t>
      </w:r>
    </w:p>
    <w:p w14:paraId="1FCF4EDA" w14:textId="77777777" w:rsidR="00D0174C" w:rsidRPr="00D0174C" w:rsidRDefault="00D0174C" w:rsidP="00D0174C">
      <w:pPr>
        <w:spacing w:after="0" w:line="319" w:lineRule="auto"/>
        <w:jc w:val="right"/>
        <w:rPr>
          <w:rFonts w:eastAsia="Arial" w:cstheme="minorHAnsi"/>
          <w:kern w:val="0"/>
          <w:lang w:eastAsia="pl-PL"/>
          <w14:ligatures w14:val="none"/>
        </w:rPr>
      </w:pPr>
    </w:p>
    <w:p w14:paraId="6F10D543" w14:textId="77777777" w:rsidR="00D0174C" w:rsidRPr="00D0174C" w:rsidRDefault="00D0174C" w:rsidP="00D0174C">
      <w:pPr>
        <w:spacing w:after="0" w:line="319" w:lineRule="auto"/>
        <w:jc w:val="right"/>
        <w:rPr>
          <w:rFonts w:eastAsia="Arial" w:cstheme="minorHAnsi"/>
          <w:b/>
          <w:bCs/>
          <w:kern w:val="0"/>
          <w:lang w:eastAsia="pl-PL"/>
          <w14:ligatures w14:val="none"/>
        </w:rPr>
      </w:pPr>
      <w:r w:rsidRPr="00D0174C">
        <w:rPr>
          <w:rFonts w:eastAsia="Arial" w:cstheme="minorHAnsi"/>
          <w:b/>
          <w:bCs/>
          <w:kern w:val="0"/>
          <w:lang w:eastAsia="pl-PL"/>
          <w14:ligatures w14:val="none"/>
        </w:rPr>
        <w:t xml:space="preserve">Do wszystkich uczestników postępowania </w:t>
      </w:r>
    </w:p>
    <w:p w14:paraId="73D263E6" w14:textId="77777777" w:rsidR="00D0174C" w:rsidRPr="00D0174C" w:rsidRDefault="00D0174C" w:rsidP="00D0174C">
      <w:pPr>
        <w:spacing w:after="0" w:line="319" w:lineRule="auto"/>
        <w:jc w:val="both"/>
        <w:rPr>
          <w:rFonts w:eastAsia="Arial" w:cstheme="minorHAnsi"/>
          <w:kern w:val="0"/>
          <w:lang w:eastAsia="pl-PL"/>
          <w14:ligatures w14:val="none"/>
        </w:rPr>
      </w:pPr>
    </w:p>
    <w:p w14:paraId="694F526F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kern w:val="0"/>
        </w:rPr>
      </w:pPr>
      <w:r w:rsidRPr="00D0174C">
        <w:rPr>
          <w:rFonts w:eastAsia="Arial" w:cstheme="minorHAnsi"/>
          <w:kern w:val="0"/>
          <w:lang w:eastAsia="pl-PL"/>
          <w14:ligatures w14:val="none"/>
        </w:rPr>
        <w:t xml:space="preserve">Dotyczy postępowania o udzielenie zamówienia publicznego pn. </w:t>
      </w:r>
      <w:bookmarkStart w:id="2" w:name="_Hlk139283454"/>
      <w:r w:rsidRPr="00D0174C">
        <w:rPr>
          <w:rFonts w:eastAsia="Times New Roman" w:cstheme="minorHAnsi"/>
          <w:b/>
          <w:kern w:val="0"/>
          <w:lang w:eastAsia="ar-SA"/>
        </w:rPr>
        <w:t>„</w:t>
      </w:r>
      <w:r w:rsidRPr="00D0174C">
        <w:rPr>
          <w:rFonts w:cstheme="minorHAnsi"/>
          <w:b/>
          <w:kern w:val="0"/>
        </w:rPr>
        <w:t>Modernizacja infrastruktury oświetleniowej na terenie Gminy Dopiewo</w:t>
      </w:r>
      <w:r w:rsidRPr="00D0174C">
        <w:rPr>
          <w:rFonts w:eastAsia="Times New Roman" w:cstheme="minorHAnsi"/>
          <w:b/>
          <w:kern w:val="0"/>
          <w:lang w:eastAsia="ar-SA"/>
        </w:rPr>
        <w:t>”</w:t>
      </w:r>
    </w:p>
    <w:p w14:paraId="231A4B1C" w14:textId="77777777" w:rsidR="00D0174C" w:rsidRPr="00D0174C" w:rsidRDefault="00D0174C" w:rsidP="00D0174C">
      <w:pPr>
        <w:spacing w:after="0" w:line="319" w:lineRule="auto"/>
        <w:jc w:val="both"/>
        <w:rPr>
          <w:rFonts w:eastAsia="Times New Roman" w:cstheme="minorHAnsi"/>
          <w:b/>
          <w:kern w:val="0"/>
          <w:lang w:eastAsia="pl-PL"/>
          <w14:ligatures w14:val="none"/>
        </w:rPr>
      </w:pPr>
    </w:p>
    <w:bookmarkEnd w:id="2"/>
    <w:p w14:paraId="42C04265" w14:textId="77777777" w:rsidR="00D0174C" w:rsidRPr="00D0174C" w:rsidRDefault="00D0174C" w:rsidP="00D0174C">
      <w:pPr>
        <w:spacing w:after="0" w:line="319" w:lineRule="auto"/>
        <w:jc w:val="both"/>
        <w:rPr>
          <w:rFonts w:eastAsia="Arial" w:cstheme="minorHAnsi"/>
          <w:kern w:val="0"/>
          <w:lang w:eastAsia="pl-PL"/>
          <w14:ligatures w14:val="none"/>
        </w:rPr>
      </w:pPr>
    </w:p>
    <w:p w14:paraId="64BFF2A2" w14:textId="77777777" w:rsidR="00D0174C" w:rsidRPr="00D0174C" w:rsidRDefault="00D0174C" w:rsidP="00D0174C">
      <w:pPr>
        <w:spacing w:after="0" w:line="319" w:lineRule="auto"/>
        <w:jc w:val="both"/>
        <w:rPr>
          <w:rFonts w:eastAsia="Arial" w:cstheme="minorHAnsi"/>
          <w:kern w:val="0"/>
          <w:lang w:eastAsia="pl-PL"/>
          <w14:ligatures w14:val="none"/>
        </w:rPr>
      </w:pPr>
      <w:r w:rsidRPr="00D0174C">
        <w:rPr>
          <w:rFonts w:eastAsia="Arial" w:cstheme="minorHAnsi"/>
          <w:kern w:val="0"/>
          <w:lang w:eastAsia="pl-PL"/>
          <w14:ligatures w14:val="none"/>
        </w:rPr>
        <w:t>Działając zgodnie z treścią art. 135 ust. 3 i 6 ustawy Prawo zamówień publicznych przekazuję treść wniosku o wyjaśnienie treści specyfikacji warunków zamówienia (SWZ) wraz z odpowiedziami.</w:t>
      </w:r>
    </w:p>
    <w:p w14:paraId="32CC17CE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</w:p>
    <w:p w14:paraId="5ABA0357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bookmarkStart w:id="3" w:name="_Hlk172203270"/>
      <w:r w:rsidRPr="00D0174C">
        <w:rPr>
          <w:rFonts w:cstheme="minorHAnsi"/>
          <w:b/>
          <w:bCs/>
          <w:kern w:val="0"/>
        </w:rPr>
        <w:t>Pytanie nr 1.</w:t>
      </w:r>
    </w:p>
    <w:p w14:paraId="2D1F01B7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Czy oprawy uliczne mają posiadać stopień ochronności IK09 klosza potwierdzonym raportem z badań pochodzący z akredytowanego laboratorium?</w:t>
      </w:r>
    </w:p>
    <w:p w14:paraId="19918C8B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Odpowiedź: Stopień odporności klosza na uderzenia mechaniczne dla oprawy drogowej LED został określony w Załączniku nr 10 do SWZ – Audyt oświetlenia drogowego, pkt 4.4.1.</w:t>
      </w:r>
    </w:p>
    <w:p w14:paraId="7FC979C6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</w:p>
    <w:p w14:paraId="6F51937E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2.</w:t>
      </w:r>
    </w:p>
    <w:p w14:paraId="27943EA3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Czy oprawy uliczne muszą posiadać zakres temperatury otoczenia podczas pracy oprawy: od - 40°C do +50°C ?</w:t>
      </w:r>
    </w:p>
    <w:p w14:paraId="7D33C269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Odpowiedź: Zakres temperatury otoczenia podczas pracy oprawy drogowej LED został określony w Załączniku nr 10 do SWZ – Audyt oświetlenia drogowego, pkt 4.4.1.</w:t>
      </w:r>
    </w:p>
    <w:p w14:paraId="45B6361F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7A472663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3.</w:t>
      </w:r>
    </w:p>
    <w:p w14:paraId="1698B015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Czy oprawy uliczne mają być wyposażone w uniwersalny uchwyt, wykonany z odlewu aluminiowego malowanego proszkowo na kolor oprawy, stanowiący integralną część oprawy oraz pozwalający na montaż zarówno na wysięgniku jak i bezpośrednio na słupie. Kąt nachylenia oprawy jest możliwy w zakresie: od 0° do 30° (montaż bezpośredni) oraz od -45° do 15° (montaż na wysięgniku). Zmiana sposobu montażu odbywa się bez konieczności zdejmowania oprawy?</w:t>
      </w:r>
    </w:p>
    <w:p w14:paraId="7AA7E2E0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Odpowiedź: Sposób montażu i zakres regulacji oprawy drogowej LED został określony w Załączniku nr 10 do SWZ – Audyt oświetlenia drogowego, pkt 4.4.1.</w:t>
      </w:r>
    </w:p>
    <w:p w14:paraId="15B7B5FF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43CDAC9C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4.</w:t>
      </w:r>
    </w:p>
    <w:p w14:paraId="4463C69F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 xml:space="preserve">Czy oprawy typu LED muszą być wyposażone w etykietę z kodem QR wraz z dodatkową naklejką do umieszczenia np. we wnęce słupowej i/lub na projekcie. Kod QR poprzez użycie dedykowanej aplikacji </w:t>
      </w:r>
      <w:r w:rsidRPr="00D0174C">
        <w:rPr>
          <w:rFonts w:cstheme="minorHAnsi"/>
          <w:kern w:val="0"/>
        </w:rPr>
        <w:lastRenderedPageBreak/>
        <w:t>producenta umożliwia uzyskanie pełnej charakterystyki oprawy i dostęp do informacji takich jak: parametry fotometryczne, elektryczne oraz mechaniczne, dokumentacja oprawy, instrukcja montażu, instrukcja serwisowania w przypadku nieprawidłowego działania oprawy oświetleniowej, lista części zamiennych wraz z kodami producenta</w:t>
      </w:r>
    </w:p>
    <w:p w14:paraId="42C79575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Odpowiedź: Sposób identyfikacji opraw LED poprzez etykiety QR i aplikację został określony w Załączniku nr 10 do SWZ – Audyt oświetlenia drogowego, pkt 4.4.1., pkt 4.4.2., pkt 4.4.3.</w:t>
      </w:r>
    </w:p>
    <w:p w14:paraId="7DBD7F38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69C67FC0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5.</w:t>
      </w:r>
    </w:p>
    <w:p w14:paraId="7F1FE50D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Czy Zamawiający w ramach przedmiotowego postępowania wymaga dostarczenia poza oprawami również systemu sterowania z gniazdami zd4i o parametrach jak poniżej?</w:t>
      </w:r>
    </w:p>
    <w:p w14:paraId="05A3310B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Parametry systemu sterownia zd4i.</w:t>
      </w:r>
    </w:p>
    <w:p w14:paraId="609D1649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System sterowania oświetleniem, którego struktura sieci składa się z mieszanej kombinacji sterowników montowanych na gniazda Zhaga D4i tj. sterowników odpowiedzialnych za komunikację                  z serwerem typu master oraz sterowników typu slave, przy zachowaniu wymaganych przez Zamawiającego funkcjonalności i nie wymagających stosowania elementów wyniesionych poza oprawę np. HUB, stacje bazowe, sterowniki segmentowe. Mieszana struktura sieci oświetleniowej przekłada się na realne oszczędności Zamawiającego w postaci redukcji opłat za transmisję danych, co jest kluczowe w przypadku eksploatacji oświetlenia po upływie gwarancji udzielonej przez wykonawcę. Sterowniki posiadają certyfikat Zhaga-D4i i muszą być publikowane na oficjalnej stronie ZHAGA Consorcium jak ma to miejsce w przypadku opraw oświetleniowych. Wszystkie oprawy objęte zamówieniem muszą umożliwiać użytkownikowi bezprzewodowe sterowanie z 10 letnim abonamentem.</w:t>
      </w:r>
    </w:p>
    <w:p w14:paraId="056CDD91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Odpowiedź: Minimalne parametry dla systemu sterowania zostały określone w Załączniku nr 10 do SWZ – Audyt oświetlenia drogowego, pkt 4.7. Oferowane sterowniki muszą mieć certyfikat Zhaga-D4i, publikowany na oficjalnej stronie ZHAGA Consortium.</w:t>
      </w:r>
    </w:p>
    <w:p w14:paraId="3C7CBE7F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18A4D82B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6.</w:t>
      </w:r>
    </w:p>
    <w:p w14:paraId="0705AEC9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Czy zamawiający będzie wymagał deklaracji środowiskowej (ang. PEP - Product Environmental Profile) zgodnie z ISO 14040:2006 oraz EN 15804:2012 + A2:2019, potwierdzoną przez uprawnioną jednostkę badawczą?</w:t>
      </w:r>
    </w:p>
    <w:p w14:paraId="000EFB3D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Odpowiedź: Zamawiający wymaga deklaracji środowiskowych zgodnie z wymaganiami określonymi w Załączniku nr 10 do SWZ – Audyt oświetlenia drogowego, pkt 4.4 lub dopuszcza deklarację EPD.</w:t>
      </w:r>
    </w:p>
    <w:p w14:paraId="59C8F8B3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0DF9C4F2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7.</w:t>
      </w:r>
    </w:p>
    <w:p w14:paraId="420537D4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Środki przedmiotowo dowodowe:</w:t>
      </w:r>
    </w:p>
    <w:p w14:paraId="5D3B9788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 xml:space="preserve">Proszę o potwierdzenie, że Zamawiający wymaga złożenia wraz z ofertę kart katalogowych proponowanych opraw oświetleniowych oraz certyfikatu ENEC z wykazem komponentów, ENEC+ i </w:t>
      </w:r>
      <w:r w:rsidRPr="00D0174C">
        <w:rPr>
          <w:rFonts w:cstheme="minorHAnsi"/>
          <w:kern w:val="0"/>
        </w:rPr>
        <w:lastRenderedPageBreak/>
        <w:t>certyfikatu Zhaga ZD4i na potwierdzenie parametrów technicznych i funkcjonalnych wykazanych przez Zamawiającego w OPZ. W przeciwnym wypadku Zamawiający nie wymagając żadnych przedmiotowych środków dowodowych na potwierdzenie zgodności proponowanych opraw z opisem w OPZ - nie jest w stanie sprawdzić czy Wykonawca proponuje sprzęt oświetleniowy zgodny ze specyfikacjami do zamówienia, a zatem nie jest w stanie prawidłowo porównać ofert różnych Wykonawców.</w:t>
      </w:r>
    </w:p>
    <w:p w14:paraId="52311C3D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color w:val="4472C4" w:themeColor="accent1"/>
          <w:kern w:val="0"/>
          <w:lang w:eastAsia="pl-PL"/>
          <w14:ligatures w14:val="none"/>
        </w:rPr>
      </w:pPr>
      <w:r w:rsidRPr="00D0174C">
        <w:rPr>
          <w:rFonts w:cstheme="minorHAnsi"/>
          <w:b/>
          <w:bCs/>
          <w:kern w:val="0"/>
        </w:rPr>
        <w:t>Odpowiedź:</w:t>
      </w:r>
      <w:r w:rsidRPr="00D0174C">
        <w:rPr>
          <w:rFonts w:cstheme="minorHAnsi"/>
          <w:color w:val="FF0000"/>
          <w:kern w:val="0"/>
        </w:rPr>
        <w:t xml:space="preserve">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>Zamawiający nie wymaga złożenia wraz z ofertą kart katalogowych opraw                                         i systemu sterowania, certyfikatów ENEC, ENEC+, ZD4i oraz obliczeń fotometrycznych. Rzeczone dowody będą musiały zostać przedstawione przez Wykonawcę po podpisaniu umowy, a przed ich dostarczeniem/wbudowaniem, zgodnie z zapisami projektowanych postanowień umownych.</w:t>
      </w:r>
    </w:p>
    <w:p w14:paraId="41153636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65CD9E97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8.</w:t>
      </w:r>
    </w:p>
    <w:p w14:paraId="1C49F30E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(obliczenia fotometryczne)</w:t>
      </w:r>
    </w:p>
    <w:p w14:paraId="5BFE1EA6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Czy oprawy typu ulicznego i parkowego muszą spełniać parametry techniczne i fotometryczne nie gorsze niż przedstawione w załączniku nr. 10 do SWZ i być potwierdzone raportem oraz plikami wsadowymi wykonanymi w ogólnodostępnym programie komputerowym np. Dialux, Relux, a dostępność plików fotometrycznych (np. format .Ldt, .les) muszą być na stronie internetowej producenta lub dystrybutora, pozwalające wykonać sprawdzające obliczenia fotometryczne?</w:t>
      </w:r>
    </w:p>
    <w:p w14:paraId="3EEAB9D8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  <w:lang w:eastAsia="pl-PL"/>
          <w14:ligatures w14:val="none"/>
        </w:rPr>
      </w:pPr>
      <w:r w:rsidRPr="00D0174C">
        <w:rPr>
          <w:rFonts w:cstheme="minorHAnsi"/>
          <w:b/>
          <w:bCs/>
          <w:kern w:val="0"/>
        </w:rPr>
        <w:t xml:space="preserve">Odpowiedź: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>Oprawy typu ulicznego i parkowego muszą spełniać parametry techniczne i fotometryczne nie gorsze niż przedstawione w załączniku nr. 10 do SWZ. Parametry techniczne i fotometryczne opraw muszą spełniać wymagania PN-EN 13201:2016 dla danej klasy oświetleniowej. Zamawiający nie wymaga załączenia do oferty przedmiotowych środków dowodowych.</w:t>
      </w:r>
    </w:p>
    <w:p w14:paraId="4DE870C1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</w:p>
    <w:p w14:paraId="693A7B6B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9.</w:t>
      </w:r>
    </w:p>
    <w:p w14:paraId="039DB9E0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Prosimy o doprecyzowanie czy wskazany przez Zamawiającego zakres regulacji oprawy na zaczepie montażowym od -0° do 30° (montaż bezpośredni) lub od -45° do 15° (montaż na wysięgniku) jest rzeczywiście niezbędny, czy nie jest to blokowanie konkurencji przed złożeniem ofert, tym bardziej, że z obliczeń jasno wynika, że max. kąt wychylenia opraw jest nie większy niż 15 st. I „zadzieranie opraw” powyżej tego kąta sprowadza się tylko do tzw. zaśmiecania światłem nieboskłonu.</w:t>
      </w:r>
    </w:p>
    <w:p w14:paraId="54F07F78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Prosimy o zmianę zapisu na:</w:t>
      </w:r>
    </w:p>
    <w:p w14:paraId="2957082B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Oprawa wyposażona w uniwersalny uchwyt stanowiący integralną część oprawy oraz pozwalający na montaż zarówno na wysięgniku jak i bezpośrednio na słupie. Kąt nachylenia oprawy jest możliwy w zakresie: od 0° do 15° (montaż bezpośredni) lub od -45° do 15° (montaż na wysięgniku); zmiana sposobu montażu (z wysięgnika na bezpośrednio na słupie) odbywa się bez konieczności zdejmowania oprawy tzn. bez odseparowania uchwytu od korpusu oprawy</w:t>
      </w:r>
    </w:p>
    <w:p w14:paraId="0AE130D7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  <w:lang w:eastAsia="pl-PL"/>
          <w14:ligatures w14:val="none"/>
        </w:rPr>
      </w:pPr>
      <w:r w:rsidRPr="00D0174C">
        <w:rPr>
          <w:rFonts w:cstheme="minorHAnsi"/>
          <w:b/>
          <w:bCs/>
          <w:kern w:val="0"/>
        </w:rPr>
        <w:t xml:space="preserve">Odpowiedź: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 xml:space="preserve">Zakres regulacji oprawy na zaczepie montażowym od -0° do 30° (montaż bezpośredni) lub od -45° do 15° (montaż na wysięgniku) jest niezbędny, gdyż realną potrzebą Zamawiającego jest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lastRenderedPageBreak/>
        <w:t xml:space="preserve">dostosowanie położenia oprawy do istniejących konstrukcji nośnych oraz w przypadku rozbudowy układu drogowego np. o ścieżki rowerowe, chodniki, dostosowanie układów optycznych do bieżących warunków drogowych poprzez mechaniczną zmianę ustawienia oprawy a nie jej całkowitą wymianę. Zamawiający, zgodnie z art. 137 ust. 1 Pzp zmienia opis SWZ, poprzez dopuszczenie rozwiązania, w których wymagany zakres regulacji kąta nachylenia będzie realizowany za pomocą dedykowanego, niezintegrowanego przegubu. W takiej sytuacji wymagany będzie raport (który Wykonawca zobowiązany będzie przedłożyć </w:t>
      </w:r>
      <w:r w:rsidRPr="00D0174C">
        <w:rPr>
          <w:rFonts w:cstheme="minorHAnsi"/>
          <w:b/>
          <w:bCs/>
          <w:kern w:val="0"/>
        </w:rPr>
        <w:t xml:space="preserve">na etapie składania kart materiałowych inspektorowi nadzoru)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 xml:space="preserve">dla przegubu na zgodność z normą PN-EN 60068-2-6 lub równoważną dla oferowanych wersji opraw (z uwzględnieniem ich wagi oraz parametrów aerodynamicznych). </w:t>
      </w:r>
    </w:p>
    <w:p w14:paraId="7C1B6C10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  <w:lang w:eastAsia="pl-PL"/>
          <w14:ligatures w14:val="none"/>
        </w:rPr>
      </w:pPr>
    </w:p>
    <w:p w14:paraId="430D9859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b/>
          <w:bCs/>
          <w:kern w:val="0"/>
        </w:rPr>
        <w:t>Pytanie nr 10.</w:t>
      </w:r>
    </w:p>
    <w:p w14:paraId="7B9A75F4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W nawiązaniu do wymogu: „Komunikacja zgodnie z modelem danych uCIFI” Informujemy, że „Model uCIFI” ma bardzo ograniczoną liczbę elementów obowiązkowych i tylko 1 z 67 jest obowiązkowy. Pozostałych 66 jest opcjonalnych, w związku z czym zapewnienie interoperacyjności jest praktycznie niemożliwe. Istotne luki w modelu danych: - Brak punktów danych w szafie (wszystko jest zorientowane na kontrolę punktów świetlnych) - Brak harmonogramów (przypisanie) - Brak grupowania, które jest kluczowym elementem wymaganym przez Zamawiającego (cyt. „Załączanie i wyłączanie pojedynczej oprawy lub grupy opraw”) - Brak informacji o czujnikach, których zdalna konfiguracja jest również wymagana przez Zamawiającego (cyt. „Możliwość zdalnej konfiguracji czujników i aktywowania wybranych opraw z poziomu systemu” - Brak parametrów słonecznych uCIFI Alliance nie ma w tej chwili żadnej oficjalnej procedury testowania i certyfikacji zgodnie zgodnie z założonym modelem danych. Zamawiający wymagając komunikacji zgodnie z modelem danych uCIFI nie określił żadnego kryterium równoważności/nie dopuścił żadnej równoważnej alternatywy, a patrząc na ograniczenia tego modelu danych i brak wsparcia modelu dla kluczowych wymagań zdefiniowanych przez Zamawiającego sugeruje, że poniższy zapis ma jedynie na względzie praktyczne ograniczenie konkurencji do 1 firmy – firmy Schreder. Zgodnie z informacją na stronie uCIFI, model danych na którym oparta jest komunikacja uCIFI wygląda następująco:</w:t>
      </w:r>
      <w:r w:rsidRPr="00D0174C">
        <w:rPr>
          <w:rFonts w:cstheme="minorHAnsi"/>
          <w:kern w:val="0"/>
        </w:rPr>
        <w:br/>
        <w:t>https://ucifi.org/ucifi-data-model/</w:t>
      </w:r>
      <w:r w:rsidRPr="00D0174C">
        <w:rPr>
          <w:rFonts w:cstheme="minorHAnsi"/>
          <w:kern w:val="0"/>
        </w:rPr>
        <w:br/>
        <w:t>2 Prosimy o wykreślenie modelu uCIFI lub/i dopuszczenie równoważnych standardów takich jak LwM2M, IPSO, CoAP, CBOR.</w:t>
      </w:r>
    </w:p>
    <w:p w14:paraId="6FAC19DC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  <w:lang w:eastAsia="pl-PL"/>
          <w14:ligatures w14:val="none"/>
        </w:rPr>
      </w:pPr>
      <w:r w:rsidRPr="00D0174C">
        <w:rPr>
          <w:rFonts w:cstheme="minorHAnsi"/>
          <w:b/>
          <w:bCs/>
          <w:kern w:val="0"/>
        </w:rPr>
        <w:t xml:space="preserve">Odpowiedź: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>Zamawiający informuje, że zgodnie z Załącznikiem nr 10 do SWZ – Audyt oświetlenia drogowego, pkt 4.7., dopuszczony jest model danych uCIFI lub równoważny, to znaczy taki, który będzie kompatybilny z modelem uCIFI</w:t>
      </w:r>
      <w:r w:rsidRPr="00D0174C">
        <w:rPr>
          <w:rFonts w:cstheme="minorHAnsi"/>
          <w:kern w:val="0"/>
          <w:lang w:eastAsia="pl-PL"/>
          <w14:ligatures w14:val="none"/>
        </w:rPr>
        <w:t xml:space="preserve">. </w:t>
      </w:r>
    </w:p>
    <w:p w14:paraId="3868EF74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</w:p>
    <w:p w14:paraId="2CB70996" w14:textId="77777777" w:rsid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66F0614F" w14:textId="77777777" w:rsid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2178CF12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04F78E2C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b/>
          <w:bCs/>
          <w:kern w:val="0"/>
        </w:rPr>
        <w:lastRenderedPageBreak/>
        <w:t>Pytanie nr 11.</w:t>
      </w:r>
    </w:p>
    <w:p w14:paraId="2815D6D2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 xml:space="preserve">W nawiązaniu do wymagań technicznych opraw parkowych. Zamawiający wymaga aby oprawa posiadała beznarzędziowy dostęp do osprzętu oprawy za pomocą dwóch klamr/klipsów oraz umożliwiała beznarzędziową wymianę układu optycznego oraz całego osprzętu elektrycznego a także zakres temperatury barwowej źródeł światła 2200K–3000K z możliwością jej płynnej zmiany i regulacji w podanym zakresie, poprzez zaimplementowany system sterowania. </w:t>
      </w:r>
    </w:p>
    <w:p w14:paraId="68DF0FE7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Zwracamy uwagę, że takie rozwiązania (w połączeniu z pozostałymi wymaganiami i wymiarami samej oprawy) stosuje jedynie firma Schreder, co w świetle PZP jest zabronione. Prosimy o wykreślenie powyższych zapisów w wymagań dla opraw parkowych – zwłaszcza, że dotyczy to raptem 16 opraw na ul. Motylka w Skórzewie. Prosimy również o odstąpienie od tolerancji wymiarów i zmianę zapisu na: Wygląd, styl i wielkość oprawy zgodny z cechami wzorniczymi umieszczonymi poniżej. Zwłaszcza, że obszar na którym mają być zastosowane oprawy nie jest objęty ochroną konserwatorską.</w:t>
      </w:r>
      <w:r w:rsidRPr="00D0174C">
        <w:rPr>
          <w:rFonts w:cstheme="minorHAnsi"/>
          <w:kern w:val="0"/>
        </w:rPr>
        <w:br/>
        <w:t xml:space="preserve">Prosimy również o informację dla jakiej Tb mają być wykonane obliczenia dla ww. ulicy. </w:t>
      </w:r>
    </w:p>
    <w:p w14:paraId="5071F40C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 xml:space="preserve">Odpowiedź: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 xml:space="preserve">Zamawiający, zgodnie z art. 137 ust. 1 Pzp, zmienia zapisy SWZ w </w:t>
      </w:r>
      <w:r w:rsidRPr="00D0174C">
        <w:rPr>
          <w:rFonts w:cstheme="minorHAnsi"/>
          <w:b/>
          <w:bCs/>
          <w:kern w:val="0"/>
        </w:rPr>
        <w:t xml:space="preserve">odniesieniu do opraw parkowych. Zamawiający odstępuje od zapisu beznarzędziowej wymiany LED i dostępu do komory elektr. Temperatura barwowa minimum 3000K. Zamawiający odstępuje od tolerancji wymiarów oprawy pod warunkiem, że wygląd i styl  będą zgodne z oprawą przykładową zamieszczoną w audycie oświetlenia drogowego.          </w:t>
      </w:r>
    </w:p>
    <w:p w14:paraId="3EAC561D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</w:p>
    <w:p w14:paraId="747063A2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b/>
          <w:bCs/>
          <w:kern w:val="0"/>
        </w:rPr>
        <w:t>Pytanie nr 12.</w:t>
      </w:r>
    </w:p>
    <w:p w14:paraId="16AB3A89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Zamawiający w OPZ wymaga dla wszystkich typów opraw (opraw ulicznych, parkowych i naświetlaczy), aby sterowniki systemu sterowania oświetleniem jednocześnie komunikowały się bezpośrednio (z pominięciem sterowników centralnych, stacji bazowych, hubów itd.) z systemem i również pośrednio (bezprezwodowo) między sobą. Pragniemy zauważyć, że takie rozwiązanie stosuje jedynie firma Schreder, która stosuje technologię Wi-Sun która umożliwia taką „hybrydową” łączność. Żaden z producentów systemów działających na rynku polskim nie stosuje takiego rozwiązania i albo stosuje komunikację bezpośrednią (każda oprawa/sterownik łączy się w bezpośrednio z systemem w chmurze poprzez sieć komórkową), albo pośrednią w której każdy z modułów komunikuje się poprzez sieć mesh lub w topologii gwiazdy ze stacją bazową/sterownikiem centralnym/segmentowym.</w:t>
      </w:r>
      <w:r w:rsidRPr="00D0174C">
        <w:rPr>
          <w:rFonts w:cstheme="minorHAnsi"/>
          <w:kern w:val="0"/>
        </w:rPr>
        <w:br/>
        <w:t>Nadmienić należy tutaj, że system Schredera spełniłby te wymagania tylko w wyłącznie w sytuacji gdyby każdy z dostarczonych kontrolerów był w wersji DATA Lift co najpewniej podniosłoby koszt całego systemu i nie jest potwierdzone czy kontrolery komunikowałyby się ze sobą.</w:t>
      </w:r>
      <w:r w:rsidRPr="00D0174C">
        <w:rPr>
          <w:rFonts w:cstheme="minorHAnsi"/>
          <w:kern w:val="0"/>
        </w:rPr>
        <w:br/>
        <w:t>Prosimy o wykreślenie z OPZ zapisu: Bezpośrednia i bezprzewodowa komunikacja pomiędzy oprawami niezależnie od sposobu ich zasilania.</w:t>
      </w:r>
    </w:p>
    <w:p w14:paraId="41F156D6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  <w:lang w:eastAsia="pl-PL"/>
          <w14:ligatures w14:val="none"/>
        </w:rPr>
      </w:pPr>
      <w:r w:rsidRPr="00D0174C">
        <w:rPr>
          <w:rFonts w:cstheme="minorHAnsi"/>
          <w:b/>
          <w:bCs/>
          <w:kern w:val="0"/>
        </w:rPr>
        <w:t xml:space="preserve">Odpowiedź: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 xml:space="preserve">Zamawiający, zgodnie z art. 137 ust. 1 Pzp, zmienia zapisy SWZ poprzez wykreślenie zapisów o bezpośredniej i bezprzewodowej komunikacji pomiędzy oprawami. Wszystkie oprawy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lastRenderedPageBreak/>
        <w:t xml:space="preserve">muszą komunikować się bezpośrednio z systemem sterowania oświetleniem bez urządzeń pośredniczących.    </w:t>
      </w:r>
    </w:p>
    <w:p w14:paraId="629D2B01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</w:p>
    <w:p w14:paraId="4287A858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bookmarkStart w:id="4" w:name="_Hlk178256710"/>
      <w:r w:rsidRPr="00D0174C">
        <w:rPr>
          <w:rFonts w:cstheme="minorHAnsi"/>
          <w:b/>
          <w:bCs/>
          <w:kern w:val="0"/>
        </w:rPr>
        <w:t>Pytanie nr 13.</w:t>
      </w:r>
    </w:p>
    <w:p w14:paraId="69520FC8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W zawiązku z bardzo ograniczoną liczbą producentów projektorów/naświetlaczy z certyfikatem ZD4i (oprawa z gniazdem Zhaga Book 18 i driverem D4i) prosimy o odstąpienie od tolerancji wymiarów dla tych opraw, w przeciwnym wypadku jedynie oprawy serii Neos Schredera spełnią te wymagania</w:t>
      </w:r>
    </w:p>
    <w:bookmarkEnd w:id="4"/>
    <w:p w14:paraId="0C34675E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  <w:lang w:eastAsia="pl-PL"/>
          <w14:ligatures w14:val="none"/>
        </w:rPr>
      </w:pPr>
      <w:r w:rsidRPr="00D0174C">
        <w:rPr>
          <w:rFonts w:cstheme="minorHAnsi"/>
          <w:b/>
          <w:bCs/>
          <w:kern w:val="0"/>
        </w:rPr>
        <w:t xml:space="preserve">Odpowiedź: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>Zgodnie z art. 137 ust. 1 Pzp, Zamawiający zmienia zapisy SWZ  i rozszerza dopuszczalną tolerancję wymiarów dla naświetlaczy do ±15%.</w:t>
      </w:r>
      <w:r w:rsidRPr="00D0174C">
        <w:rPr>
          <w:rFonts w:cstheme="minorHAnsi"/>
          <w:b/>
          <w:bCs/>
          <w:color w:val="4472C4" w:themeColor="accent1"/>
          <w:kern w:val="0"/>
          <w:lang w:eastAsia="pl-PL"/>
          <w14:ligatures w14:val="none"/>
        </w:rPr>
        <w:t xml:space="preserve"> </w:t>
      </w:r>
    </w:p>
    <w:p w14:paraId="516E305A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</w:p>
    <w:p w14:paraId="0B41D72C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Pytanie nr 14.</w:t>
      </w:r>
    </w:p>
    <w:p w14:paraId="77E86ABA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Zamawiający w pliku „Opis techniczny Audyt.pdf” na stronie 15 wymienia listę załączników, wśród których znajdują się wylistowane obliczenia fotometryczne („Załącznik 5. Wyniki obliczeń fotometrycznych”), jednakże plik nie został zawarty w materiałach przetargowych. Wnosimy o udostępnienie obliczeń wzorcowych, które pozwolą wykonać obliczenia fotometryczne a na ich podstawie złożone oferty będą porównywalne.</w:t>
      </w:r>
    </w:p>
    <w:p w14:paraId="2A53672B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Opisane parametry w tabeli inwentaryzacyjnej („Załącznik 4. Tabela zbiorcza doboru opraw.”) nie pozwalają na prawidłowy dobór opraw oświetleniowych w niektórych sytuacjach ze względu na brak danych do obliczeń fotometrycznych na przykład sytuacje opisane jako parkingi czy skrzyżowania.</w:t>
      </w:r>
      <w:r w:rsidRPr="00D0174C">
        <w:rPr>
          <w:rFonts w:cstheme="minorHAnsi"/>
          <w:kern w:val="0"/>
        </w:rPr>
        <w:br/>
      </w:r>
    </w:p>
    <w:p w14:paraId="5CA9B15D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>Niektóre zadane rozstawy pomiędzy słupami wykluczają spełnienie jakiekolwiek klasy oświetleniowej - rozstawy powyżej 60m. Ponadto w tabeli znajdują się również sytuacje drogowe nie zawierające wystarczających informacji lub niejasne informacje (np. szerokość jezdni „9-2,5-6m” lub chodniki o szerokości „2+3m”).</w:t>
      </w:r>
    </w:p>
    <w:p w14:paraId="75062755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br/>
        <w:t>Wnosimy o udostepnienie obliczeń wzorcowych lub doprecyzowanie powyżej opisanych sytuacji.</w:t>
      </w:r>
    </w:p>
    <w:p w14:paraId="081FCCF6" w14:textId="77777777" w:rsidR="00D0174C" w:rsidRPr="00D0174C" w:rsidRDefault="00D0174C" w:rsidP="00D0174C">
      <w:pPr>
        <w:spacing w:after="0" w:line="319" w:lineRule="auto"/>
        <w:rPr>
          <w:rFonts w:cstheme="minorHAnsi"/>
          <w:color w:val="FF0000"/>
          <w:kern w:val="0"/>
          <w:lang w:eastAsia="pl-PL"/>
          <w14:ligatures w14:val="none"/>
        </w:rPr>
      </w:pPr>
      <w:r w:rsidRPr="00D0174C">
        <w:rPr>
          <w:rFonts w:cstheme="minorHAnsi"/>
          <w:b/>
          <w:bCs/>
          <w:kern w:val="0"/>
        </w:rPr>
        <w:t xml:space="preserve">Odpowiedź: </w:t>
      </w:r>
      <w:r w:rsidRPr="00D0174C">
        <w:rPr>
          <w:rFonts w:cstheme="minorHAnsi"/>
          <w:b/>
          <w:bCs/>
          <w:kern w:val="0"/>
          <w:lang w:eastAsia="pl-PL"/>
          <w14:ligatures w14:val="none"/>
        </w:rPr>
        <w:t>Zamawiający udostępnia wyniki obliczeń fotometrycznych.</w:t>
      </w:r>
      <w:r w:rsidRPr="00D0174C">
        <w:rPr>
          <w:rFonts w:cstheme="minorHAnsi"/>
          <w:kern w:val="0"/>
          <w:lang w:eastAsia="pl-PL"/>
          <w14:ligatures w14:val="none"/>
        </w:rPr>
        <w:t xml:space="preserve"> </w:t>
      </w:r>
    </w:p>
    <w:p w14:paraId="4706AE31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665569D0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p w14:paraId="75C92C7F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  <w:r w:rsidRPr="00D0174C">
        <w:rPr>
          <w:rFonts w:cstheme="minorHAnsi"/>
          <w:kern w:val="0"/>
        </w:rPr>
        <w:t xml:space="preserve">Powyższe wyjaśnienia stanowią integralną część SWZ. W związku z udzielonymi wyjaśnieniami                                       i modyfikacjami SWZ, zmianie ulegają w rzeczonym zakresie zapisy SWZ, jej załączników i ogłoszenia o zamówieniu. Ponadto na podstawie z art. </w:t>
      </w:r>
      <w:r w:rsidRPr="00D0174C">
        <w:rPr>
          <w:rFonts w:eastAsia="Times New Roman" w:cstheme="minorHAnsi"/>
          <w:kern w:val="0"/>
          <w:lang w:eastAsia="pl-PL"/>
          <w14:ligatures w14:val="none"/>
        </w:rPr>
        <w:t>90 ust. 2 Pzp zmienia się:</w:t>
      </w:r>
    </w:p>
    <w:p w14:paraId="41BCFF78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- termin składania ofert do 23.10.2024 r. do godz. 11:00</w:t>
      </w:r>
    </w:p>
    <w:p w14:paraId="0AA177D6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- termin otwarcia ofert do 23.10.2024 r. godz. 11:30</w:t>
      </w:r>
    </w:p>
    <w:p w14:paraId="6F7F0D07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b/>
          <w:bCs/>
          <w:kern w:val="0"/>
        </w:rPr>
      </w:pPr>
      <w:r w:rsidRPr="00D0174C">
        <w:rPr>
          <w:rFonts w:cstheme="minorHAnsi"/>
          <w:b/>
          <w:bCs/>
          <w:kern w:val="0"/>
        </w:rPr>
        <w:t>- termin związania: 20.01.2025 r.</w:t>
      </w:r>
    </w:p>
    <w:p w14:paraId="7823BFE6" w14:textId="77777777" w:rsidR="00D0174C" w:rsidRPr="00D0174C" w:rsidRDefault="00D0174C" w:rsidP="00D0174C">
      <w:pPr>
        <w:spacing w:after="0" w:line="319" w:lineRule="auto"/>
        <w:jc w:val="both"/>
        <w:rPr>
          <w:rFonts w:cstheme="minorHAnsi"/>
          <w:kern w:val="0"/>
        </w:rPr>
      </w:pPr>
    </w:p>
    <w:bookmarkEnd w:id="3"/>
    <w:p w14:paraId="2F30BBBC" w14:textId="77777777" w:rsidR="00D0174C" w:rsidRPr="00D0174C" w:rsidRDefault="00D0174C" w:rsidP="00D0174C">
      <w:pPr>
        <w:spacing w:after="0" w:line="319" w:lineRule="auto"/>
        <w:jc w:val="center"/>
        <w:rPr>
          <w:rFonts w:eastAsia="Arial" w:cstheme="minorHAnsi"/>
          <w:b/>
          <w:kern w:val="0"/>
          <w:sz w:val="28"/>
          <w:szCs w:val="28"/>
          <w:lang w:val="pl" w:eastAsia="pl-PL"/>
          <w14:ligatures w14:val="none"/>
        </w:rPr>
      </w:pPr>
    </w:p>
    <w:bookmarkEnd w:id="0"/>
    <w:bookmarkEnd w:id="1"/>
    <w:sectPr w:rsidR="00D0174C" w:rsidRPr="00D017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6485F" w14:textId="77777777" w:rsidR="00D0174C" w:rsidRDefault="00D0174C" w:rsidP="00D0174C">
      <w:pPr>
        <w:spacing w:after="0" w:line="240" w:lineRule="auto"/>
      </w:pPr>
      <w:r>
        <w:separator/>
      </w:r>
    </w:p>
  </w:endnote>
  <w:endnote w:type="continuationSeparator" w:id="0">
    <w:p w14:paraId="4292BDA0" w14:textId="77777777" w:rsidR="00D0174C" w:rsidRDefault="00D0174C" w:rsidP="00D0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5727F" w14:textId="77777777" w:rsidR="00D0174C" w:rsidRDefault="00D0174C" w:rsidP="00D0174C">
      <w:pPr>
        <w:spacing w:after="0" w:line="240" w:lineRule="auto"/>
      </w:pPr>
      <w:r>
        <w:separator/>
      </w:r>
    </w:p>
  </w:footnote>
  <w:footnote w:type="continuationSeparator" w:id="0">
    <w:p w14:paraId="0E7A41BC" w14:textId="77777777" w:rsidR="00D0174C" w:rsidRDefault="00D0174C" w:rsidP="00D01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586EC" w14:textId="77777777" w:rsidR="00D0174C" w:rsidRPr="00D0174C" w:rsidRDefault="00D0174C" w:rsidP="00D0174C">
    <w:pPr>
      <w:tabs>
        <w:tab w:val="left" w:pos="272"/>
        <w:tab w:val="center" w:pos="4961"/>
      </w:tabs>
      <w:spacing w:after="0" w:line="319" w:lineRule="auto"/>
      <w:rPr>
        <w:rFonts w:eastAsia="Arial" w:cstheme="minorHAnsi"/>
        <w:b/>
        <w:kern w:val="0"/>
        <w:lang w:val="pl" w:eastAsia="pl-PL"/>
        <w14:ligatures w14:val="none"/>
      </w:rPr>
    </w:pPr>
    <w:r w:rsidRPr="00D0174C">
      <w:rPr>
        <w:rFonts w:ascii="Arial" w:eastAsia="Arial" w:hAnsi="Arial" w:cs="Arial"/>
        <w:noProof/>
        <w:kern w:val="0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1DB5E2CE" wp14:editId="65CAAED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099185" cy="463805"/>
          <wp:effectExtent l="0" t="0" r="5715" b="0"/>
          <wp:wrapNone/>
          <wp:docPr id="1575658693" name="Obraz 1575658693" descr="C:\Users\mbak\Desktop\!!! Logotypy - herb gminy\herb-napis-bok-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bak\Desktop\!!! Logotypy - herb gminy\herb-napis-bok-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463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0174C">
      <w:rPr>
        <w:rFonts w:eastAsia="Arial" w:cstheme="minorHAnsi"/>
        <w:b/>
        <w:kern w:val="0"/>
        <w:lang w:val="pl" w:eastAsia="pl-PL"/>
        <w14:ligatures w14:val="none"/>
      </w:rPr>
      <w:tab/>
    </w:r>
    <w:r w:rsidRPr="00D0174C">
      <w:rPr>
        <w:rFonts w:eastAsia="Arial" w:cstheme="minorHAnsi"/>
        <w:b/>
        <w:kern w:val="0"/>
        <w:lang w:val="pl" w:eastAsia="pl-PL"/>
        <w14:ligatures w14:val="none"/>
      </w:rPr>
      <w:tab/>
      <w:t xml:space="preserve">                                                                                                          </w:t>
    </w:r>
    <w:r w:rsidRPr="00D0174C">
      <w:rPr>
        <w:rFonts w:eastAsia="Calibri" w:cstheme="minorHAnsi"/>
        <w:noProof/>
        <w:kern w:val="0"/>
        <w:lang w:eastAsia="pl-PL"/>
        <w14:ligatures w14:val="none"/>
      </w:rPr>
      <w:drawing>
        <wp:inline distT="0" distB="0" distL="0" distR="0" wp14:anchorId="2BA30657" wp14:editId="2836F7F8">
          <wp:extent cx="1341120" cy="469265"/>
          <wp:effectExtent l="0" t="0" r="0" b="6985"/>
          <wp:docPr id="7506487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0174C">
      <w:rPr>
        <w:rFonts w:eastAsia="Arial" w:cstheme="minorHAnsi"/>
        <w:b/>
        <w:noProof/>
        <w:kern w:val="0"/>
        <w:lang w:eastAsia="pl-PL"/>
        <w14:ligatures w14:val="none"/>
      </w:rPr>
      <w:drawing>
        <wp:inline distT="0" distB="0" distL="0" distR="0" wp14:anchorId="5FD3C00E" wp14:editId="597BC68E">
          <wp:extent cx="871855" cy="652145"/>
          <wp:effectExtent l="0" t="0" r="4445" b="0"/>
          <wp:docPr id="7112393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A8102B" w14:textId="77777777" w:rsidR="00D0174C" w:rsidRDefault="00D01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11AAA"/>
    <w:multiLevelType w:val="hybridMultilevel"/>
    <w:tmpl w:val="3294B42E"/>
    <w:styleLink w:val="Zaimportowanystyl4"/>
    <w:lvl w:ilvl="0" w:tplc="D0ACE224">
      <w:start w:val="1"/>
      <w:numFmt w:val="lowerLetter"/>
      <w:lvlText w:val="%1)"/>
      <w:lvlJc w:val="left"/>
      <w:pPr>
        <w:tabs>
          <w:tab w:val="left" w:pos="439"/>
        </w:tabs>
        <w:ind w:left="722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20C6B6">
      <w:start w:val="1"/>
      <w:numFmt w:val="lowerLetter"/>
      <w:lvlText w:val="%2)"/>
      <w:lvlJc w:val="left"/>
      <w:pPr>
        <w:tabs>
          <w:tab w:val="left" w:pos="439"/>
        </w:tabs>
        <w:ind w:left="96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7244AA">
      <w:start w:val="1"/>
      <w:numFmt w:val="lowerLetter"/>
      <w:lvlText w:val="%3)"/>
      <w:lvlJc w:val="left"/>
      <w:pPr>
        <w:tabs>
          <w:tab w:val="left" w:pos="439"/>
        </w:tabs>
        <w:ind w:left="168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DE352C">
      <w:start w:val="1"/>
      <w:numFmt w:val="lowerLetter"/>
      <w:lvlText w:val="%4)"/>
      <w:lvlJc w:val="left"/>
      <w:pPr>
        <w:tabs>
          <w:tab w:val="left" w:pos="439"/>
        </w:tabs>
        <w:ind w:left="240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B29BF2">
      <w:start w:val="1"/>
      <w:numFmt w:val="lowerLetter"/>
      <w:lvlText w:val="%5)"/>
      <w:lvlJc w:val="left"/>
      <w:pPr>
        <w:tabs>
          <w:tab w:val="left" w:pos="439"/>
        </w:tabs>
        <w:ind w:left="312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36BD3E">
      <w:start w:val="1"/>
      <w:numFmt w:val="lowerLetter"/>
      <w:lvlText w:val="%6)"/>
      <w:lvlJc w:val="left"/>
      <w:pPr>
        <w:tabs>
          <w:tab w:val="left" w:pos="439"/>
        </w:tabs>
        <w:ind w:left="384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AE8F00">
      <w:start w:val="1"/>
      <w:numFmt w:val="lowerLetter"/>
      <w:lvlText w:val="%7)"/>
      <w:lvlJc w:val="left"/>
      <w:pPr>
        <w:tabs>
          <w:tab w:val="left" w:pos="439"/>
        </w:tabs>
        <w:ind w:left="456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4E824">
      <w:start w:val="1"/>
      <w:numFmt w:val="lowerLetter"/>
      <w:lvlText w:val="%8)"/>
      <w:lvlJc w:val="left"/>
      <w:pPr>
        <w:tabs>
          <w:tab w:val="left" w:pos="439"/>
        </w:tabs>
        <w:ind w:left="528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3A32CC">
      <w:start w:val="1"/>
      <w:numFmt w:val="lowerLetter"/>
      <w:lvlText w:val="%9)"/>
      <w:lvlJc w:val="left"/>
      <w:pPr>
        <w:tabs>
          <w:tab w:val="left" w:pos="439"/>
        </w:tabs>
        <w:ind w:left="600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91092F"/>
    <w:multiLevelType w:val="hybridMultilevel"/>
    <w:tmpl w:val="0AF239EE"/>
    <w:styleLink w:val="Zaimportowanystyl2"/>
    <w:lvl w:ilvl="0" w:tplc="CD4A27A8">
      <w:start w:val="1"/>
      <w:numFmt w:val="lowerLetter"/>
      <w:lvlText w:val="%1)"/>
      <w:lvlJc w:val="left"/>
      <w:pPr>
        <w:tabs>
          <w:tab w:val="left" w:pos="439"/>
        </w:tabs>
        <w:ind w:left="72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8A1EEC">
      <w:start w:val="1"/>
      <w:numFmt w:val="lowerLetter"/>
      <w:lvlText w:val="%2)"/>
      <w:lvlJc w:val="left"/>
      <w:pPr>
        <w:tabs>
          <w:tab w:val="left" w:pos="439"/>
        </w:tabs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028B34">
      <w:start w:val="1"/>
      <w:numFmt w:val="lowerLetter"/>
      <w:lvlText w:val="%3)"/>
      <w:lvlJc w:val="left"/>
      <w:pPr>
        <w:tabs>
          <w:tab w:val="left" w:pos="439"/>
        </w:tabs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001278">
      <w:start w:val="1"/>
      <w:numFmt w:val="lowerLetter"/>
      <w:lvlText w:val="%4)"/>
      <w:lvlJc w:val="left"/>
      <w:pPr>
        <w:tabs>
          <w:tab w:val="left" w:pos="439"/>
        </w:tabs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F62E4C">
      <w:start w:val="1"/>
      <w:numFmt w:val="lowerLetter"/>
      <w:lvlText w:val="%5)"/>
      <w:lvlJc w:val="left"/>
      <w:pPr>
        <w:tabs>
          <w:tab w:val="left" w:pos="439"/>
        </w:tabs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78BAC0">
      <w:start w:val="1"/>
      <w:numFmt w:val="lowerLetter"/>
      <w:lvlText w:val="%6)"/>
      <w:lvlJc w:val="left"/>
      <w:pPr>
        <w:tabs>
          <w:tab w:val="left" w:pos="439"/>
        </w:tabs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08A9B6">
      <w:start w:val="1"/>
      <w:numFmt w:val="lowerLetter"/>
      <w:lvlText w:val="%7)"/>
      <w:lvlJc w:val="left"/>
      <w:pPr>
        <w:tabs>
          <w:tab w:val="left" w:pos="439"/>
        </w:tabs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6C1054">
      <w:start w:val="1"/>
      <w:numFmt w:val="lowerLetter"/>
      <w:lvlText w:val="%8)"/>
      <w:lvlJc w:val="left"/>
      <w:pPr>
        <w:tabs>
          <w:tab w:val="left" w:pos="439"/>
        </w:tabs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143004">
      <w:start w:val="1"/>
      <w:numFmt w:val="lowerLetter"/>
      <w:lvlText w:val="%9)"/>
      <w:lvlJc w:val="left"/>
      <w:pPr>
        <w:tabs>
          <w:tab w:val="left" w:pos="439"/>
        </w:tabs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53B4543"/>
    <w:multiLevelType w:val="hybridMultilevel"/>
    <w:tmpl w:val="A202A2B2"/>
    <w:styleLink w:val="Zaimportowanystyl7"/>
    <w:lvl w:ilvl="0" w:tplc="066A76E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42B3A4">
      <w:start w:val="1"/>
      <w:numFmt w:val="lowerLetter"/>
      <w:lvlText w:val="%2."/>
      <w:lvlJc w:val="left"/>
      <w:pPr>
        <w:tabs>
          <w:tab w:val="left" w:pos="719"/>
        </w:tabs>
        <w:ind w:left="144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66FF34">
      <w:start w:val="1"/>
      <w:numFmt w:val="lowerRoman"/>
      <w:lvlText w:val="%3."/>
      <w:lvlJc w:val="left"/>
      <w:pPr>
        <w:tabs>
          <w:tab w:val="left" w:pos="719"/>
        </w:tabs>
        <w:ind w:left="2161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7875A6">
      <w:start w:val="1"/>
      <w:numFmt w:val="decimal"/>
      <w:lvlText w:val="%4."/>
      <w:lvlJc w:val="left"/>
      <w:pPr>
        <w:tabs>
          <w:tab w:val="left" w:pos="719"/>
        </w:tabs>
        <w:ind w:left="288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56B08C">
      <w:start w:val="1"/>
      <w:numFmt w:val="lowerLetter"/>
      <w:lvlText w:val="%5."/>
      <w:lvlJc w:val="left"/>
      <w:pPr>
        <w:tabs>
          <w:tab w:val="left" w:pos="719"/>
        </w:tabs>
        <w:ind w:left="360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3ED7DE">
      <w:start w:val="1"/>
      <w:numFmt w:val="lowerRoman"/>
      <w:lvlText w:val="%6."/>
      <w:lvlJc w:val="left"/>
      <w:pPr>
        <w:tabs>
          <w:tab w:val="left" w:pos="719"/>
        </w:tabs>
        <w:ind w:left="4321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684838">
      <w:start w:val="1"/>
      <w:numFmt w:val="decimal"/>
      <w:lvlText w:val="%7."/>
      <w:lvlJc w:val="left"/>
      <w:pPr>
        <w:tabs>
          <w:tab w:val="left" w:pos="719"/>
        </w:tabs>
        <w:ind w:left="504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429682">
      <w:start w:val="1"/>
      <w:numFmt w:val="lowerLetter"/>
      <w:lvlText w:val="%8."/>
      <w:lvlJc w:val="left"/>
      <w:pPr>
        <w:tabs>
          <w:tab w:val="left" w:pos="719"/>
        </w:tabs>
        <w:ind w:left="576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24E124">
      <w:start w:val="1"/>
      <w:numFmt w:val="lowerRoman"/>
      <w:lvlText w:val="%9."/>
      <w:lvlJc w:val="left"/>
      <w:pPr>
        <w:tabs>
          <w:tab w:val="left" w:pos="719"/>
        </w:tabs>
        <w:ind w:left="6481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067183A"/>
    <w:multiLevelType w:val="hybridMultilevel"/>
    <w:tmpl w:val="324E3574"/>
    <w:styleLink w:val="Zaimportowanystyl1"/>
    <w:lvl w:ilvl="0" w:tplc="EE0E2560">
      <w:start w:val="1"/>
      <w:numFmt w:val="decimal"/>
      <w:lvlText w:val="%1."/>
      <w:lvlJc w:val="left"/>
      <w:pPr>
        <w:tabs>
          <w:tab w:val="num" w:pos="437"/>
          <w:tab w:val="left" w:pos="1978"/>
          <w:tab w:val="left" w:pos="2724"/>
          <w:tab w:val="left" w:pos="4187"/>
          <w:tab w:val="left" w:pos="5613"/>
          <w:tab w:val="left" w:pos="6384"/>
          <w:tab w:val="left" w:pos="8326"/>
        </w:tabs>
        <w:ind w:left="47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780DF0">
      <w:start w:val="1"/>
      <w:numFmt w:val="decimal"/>
      <w:suff w:val="nothing"/>
      <w:lvlText w:val="%2)"/>
      <w:lvlJc w:val="left"/>
      <w:pPr>
        <w:tabs>
          <w:tab w:val="left" w:pos="658"/>
        </w:tabs>
        <w:ind w:left="798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C6A8F6">
      <w:start w:val="1"/>
      <w:numFmt w:val="decimal"/>
      <w:suff w:val="nothing"/>
      <w:lvlText w:val="%3)"/>
      <w:lvlJc w:val="left"/>
      <w:pPr>
        <w:tabs>
          <w:tab w:val="left" w:pos="658"/>
        </w:tabs>
        <w:ind w:left="1277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529DEC">
      <w:start w:val="1"/>
      <w:numFmt w:val="decimal"/>
      <w:suff w:val="nothing"/>
      <w:lvlText w:val="%4)"/>
      <w:lvlJc w:val="left"/>
      <w:pPr>
        <w:tabs>
          <w:tab w:val="left" w:pos="658"/>
        </w:tabs>
        <w:ind w:left="1756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87438">
      <w:start w:val="1"/>
      <w:numFmt w:val="decimal"/>
      <w:suff w:val="nothing"/>
      <w:lvlText w:val="%5)"/>
      <w:lvlJc w:val="left"/>
      <w:pPr>
        <w:tabs>
          <w:tab w:val="left" w:pos="658"/>
        </w:tabs>
        <w:ind w:left="2235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12777A">
      <w:start w:val="1"/>
      <w:numFmt w:val="decimal"/>
      <w:suff w:val="nothing"/>
      <w:lvlText w:val="%6)"/>
      <w:lvlJc w:val="left"/>
      <w:pPr>
        <w:tabs>
          <w:tab w:val="left" w:pos="658"/>
        </w:tabs>
        <w:ind w:left="2714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8A206A">
      <w:start w:val="1"/>
      <w:numFmt w:val="decimal"/>
      <w:suff w:val="nothing"/>
      <w:lvlText w:val="%7)"/>
      <w:lvlJc w:val="left"/>
      <w:pPr>
        <w:tabs>
          <w:tab w:val="left" w:pos="658"/>
        </w:tabs>
        <w:ind w:left="3193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BCE162">
      <w:start w:val="1"/>
      <w:numFmt w:val="decimal"/>
      <w:suff w:val="nothing"/>
      <w:lvlText w:val="%8)"/>
      <w:lvlJc w:val="left"/>
      <w:pPr>
        <w:tabs>
          <w:tab w:val="left" w:pos="658"/>
        </w:tabs>
        <w:ind w:left="3672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761FE4">
      <w:start w:val="1"/>
      <w:numFmt w:val="decimal"/>
      <w:suff w:val="nothing"/>
      <w:lvlText w:val="%9)"/>
      <w:lvlJc w:val="left"/>
      <w:pPr>
        <w:tabs>
          <w:tab w:val="left" w:pos="658"/>
        </w:tabs>
        <w:ind w:left="4151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99126049">
    <w:abstractNumId w:val="1"/>
  </w:num>
  <w:num w:numId="2" w16cid:durableId="855921758">
    <w:abstractNumId w:val="0"/>
  </w:num>
  <w:num w:numId="3" w16cid:durableId="921916046">
    <w:abstractNumId w:val="2"/>
  </w:num>
  <w:num w:numId="4" w16cid:durableId="182450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4C"/>
    <w:rsid w:val="00080FD2"/>
    <w:rsid w:val="00143B15"/>
    <w:rsid w:val="00240E8D"/>
    <w:rsid w:val="003E7547"/>
    <w:rsid w:val="00777F57"/>
    <w:rsid w:val="00BE279C"/>
    <w:rsid w:val="00D0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2BCF8"/>
  <w15:chartTrackingRefBased/>
  <w15:docId w15:val="{2B546DC1-3E17-4BAA-941B-FC3A8B0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174C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kern w:val="0"/>
      <w:sz w:val="40"/>
      <w:szCs w:val="40"/>
      <w:lang w:val="pl"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174C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val="pl"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174C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kern w:val="0"/>
      <w:sz w:val="28"/>
      <w:szCs w:val="28"/>
      <w:lang w:val="pl"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174C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kern w:val="0"/>
      <w:sz w:val="24"/>
      <w:szCs w:val="24"/>
      <w:lang w:val="pl" w:eastAsia="pl-PL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174C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kern w:val="0"/>
      <w:lang w:val="pl" w:eastAsia="pl-PL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174C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kern w:val="0"/>
      <w:lang w:val="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174C"/>
    <w:rPr>
      <w:rFonts w:ascii="Arial" w:eastAsia="Arial" w:hAnsi="Arial" w:cs="Arial"/>
      <w:kern w:val="0"/>
      <w:sz w:val="40"/>
      <w:szCs w:val="40"/>
      <w:lang w:val="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0174C"/>
    <w:rPr>
      <w:rFonts w:ascii="Arial" w:eastAsia="Arial" w:hAnsi="Arial" w:cs="Arial"/>
      <w:kern w:val="0"/>
      <w:sz w:val="32"/>
      <w:szCs w:val="32"/>
      <w:lang w:val="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174C"/>
    <w:rPr>
      <w:rFonts w:ascii="Arial" w:eastAsia="Arial" w:hAnsi="Arial" w:cs="Arial"/>
      <w:color w:val="434343"/>
      <w:kern w:val="0"/>
      <w:sz w:val="28"/>
      <w:szCs w:val="28"/>
      <w:lang w:val="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174C"/>
    <w:rPr>
      <w:rFonts w:ascii="Arial" w:eastAsia="Arial" w:hAnsi="Arial" w:cs="Arial"/>
      <w:color w:val="666666"/>
      <w:kern w:val="0"/>
      <w:sz w:val="24"/>
      <w:szCs w:val="24"/>
      <w:lang w:val="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174C"/>
    <w:rPr>
      <w:rFonts w:ascii="Arial" w:eastAsia="Arial" w:hAnsi="Arial" w:cs="Arial"/>
      <w:color w:val="666666"/>
      <w:kern w:val="0"/>
      <w:lang w:val="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174C"/>
    <w:rPr>
      <w:rFonts w:ascii="Arial" w:eastAsia="Arial" w:hAnsi="Arial" w:cs="Arial"/>
      <w:i/>
      <w:color w:val="666666"/>
      <w:kern w:val="0"/>
      <w:lang w:val="pl"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D0174C"/>
  </w:style>
  <w:style w:type="paragraph" w:styleId="Nagwek">
    <w:name w:val="header"/>
    <w:basedOn w:val="Normalny"/>
    <w:link w:val="NagwekZnak"/>
    <w:uiPriority w:val="99"/>
    <w:unhideWhenUsed/>
    <w:rsid w:val="00D0174C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0174C"/>
    <w:rPr>
      <w:rFonts w:ascii="Arial" w:eastAsia="Arial" w:hAnsi="Arial" w:cs="Arial"/>
      <w:kern w:val="0"/>
      <w:lang w:val="pl" w:eastAsia="pl-PL"/>
      <w14:ligatures w14:val="none"/>
    </w:rPr>
  </w:style>
  <w:style w:type="table" w:customStyle="1" w:styleId="TableNormal">
    <w:name w:val="Table Normal"/>
    <w:rsid w:val="00D0174C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D0174C"/>
    <w:pPr>
      <w:keepNext/>
      <w:keepLines/>
      <w:spacing w:after="60" w:line="276" w:lineRule="auto"/>
    </w:pPr>
    <w:rPr>
      <w:rFonts w:ascii="Arial" w:eastAsia="Arial" w:hAnsi="Arial" w:cs="Arial"/>
      <w:kern w:val="0"/>
      <w:sz w:val="52"/>
      <w:szCs w:val="52"/>
      <w:lang w:val="pl"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D0174C"/>
    <w:rPr>
      <w:rFonts w:ascii="Arial" w:eastAsia="Arial" w:hAnsi="Arial" w:cs="Arial"/>
      <w:kern w:val="0"/>
      <w:sz w:val="52"/>
      <w:szCs w:val="52"/>
      <w:lang w:val="pl"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174C"/>
    <w:pPr>
      <w:keepNext/>
      <w:keepLines/>
      <w:spacing w:after="320" w:line="276" w:lineRule="auto"/>
    </w:pPr>
    <w:rPr>
      <w:rFonts w:ascii="Arial" w:eastAsia="Arial" w:hAnsi="Arial" w:cs="Arial"/>
      <w:color w:val="666666"/>
      <w:kern w:val="0"/>
      <w:sz w:val="30"/>
      <w:szCs w:val="30"/>
      <w:lang w:val="pl" w:eastAsia="pl-PL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D0174C"/>
    <w:rPr>
      <w:rFonts w:ascii="Arial" w:eastAsia="Arial" w:hAnsi="Arial" w:cs="Arial"/>
      <w:color w:val="666666"/>
      <w:kern w:val="0"/>
      <w:sz w:val="30"/>
      <w:szCs w:val="30"/>
      <w:lang w:val="pl" w:eastAsia="pl-PL"/>
      <w14:ligatures w14:val="none"/>
    </w:rPr>
  </w:style>
  <w:style w:type="character" w:styleId="Hipercze">
    <w:name w:val="Hyperlink"/>
    <w:uiPriority w:val="99"/>
    <w:rsid w:val="00D0174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D0174C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0174C"/>
    <w:rPr>
      <w:rFonts w:ascii="Arial" w:eastAsia="Arial" w:hAnsi="Arial" w:cs="Arial"/>
      <w:kern w:val="0"/>
      <w:lang w:val="pl"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174C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D0174C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D0174C"/>
    <w:pPr>
      <w:spacing w:after="0" w:line="276" w:lineRule="auto"/>
    </w:pPr>
    <w:rPr>
      <w:rFonts w:ascii="Times New Roman" w:eastAsia="Arial" w:hAnsi="Times New Roman" w:cs="Times New Roman"/>
      <w:kern w:val="0"/>
      <w:sz w:val="24"/>
      <w:szCs w:val="24"/>
      <w:lang w:val="pl" w:eastAsia="pl-PL"/>
      <w14:ligatures w14:val="none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D0174C"/>
    <w:rPr>
      <w:rFonts w:ascii="Calibri" w:eastAsia="Calibri" w:hAnsi="Calibri" w:cs="Times New Roman"/>
      <w:kern w:val="0"/>
      <w14:ligatures w14:val="none"/>
    </w:rPr>
  </w:style>
  <w:style w:type="paragraph" w:styleId="Tekstpodstawowy2">
    <w:name w:val="Body Text 2"/>
    <w:basedOn w:val="Normalny"/>
    <w:link w:val="Tekstpodstawowy2Znak"/>
    <w:semiHidden/>
    <w:rsid w:val="00D0174C"/>
    <w:pPr>
      <w:spacing w:after="0" w:line="240" w:lineRule="auto"/>
      <w:jc w:val="both"/>
    </w:pPr>
    <w:rPr>
      <w:rFonts w:ascii="Times New Roman" w:eastAsia="CenturyGothic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0174C"/>
    <w:rPr>
      <w:rFonts w:ascii="Times New Roman" w:eastAsia="CenturyGothic" w:hAnsi="Times New Roman" w:cs="Times New Roman"/>
      <w:kern w:val="0"/>
      <w:sz w:val="24"/>
      <w:szCs w:val="2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D0174C"/>
    <w:pPr>
      <w:tabs>
        <w:tab w:val="right" w:pos="9019"/>
      </w:tabs>
      <w:spacing w:after="100" w:line="276" w:lineRule="auto"/>
      <w:ind w:left="220" w:right="1559"/>
    </w:pPr>
    <w:rPr>
      <w:rFonts w:ascii="Arial" w:eastAsia="Arial" w:hAnsi="Arial" w:cs="Arial"/>
      <w:kern w:val="0"/>
      <w:lang w:val="pl"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17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74C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174C"/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7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174C"/>
    <w:rPr>
      <w:rFonts w:ascii="Arial" w:eastAsia="Arial" w:hAnsi="Arial" w:cs="Arial"/>
      <w:b/>
      <w:bCs/>
      <w:kern w:val="0"/>
      <w:sz w:val="20"/>
      <w:szCs w:val="20"/>
      <w:lang w:val="pl" w:eastAsia="pl-PL"/>
      <w14:ligatures w14:val="none"/>
    </w:rPr>
  </w:style>
  <w:style w:type="character" w:customStyle="1" w:styleId="acopre">
    <w:name w:val="acopre"/>
    <w:basedOn w:val="Domylnaczcionkaakapitu"/>
    <w:rsid w:val="00D0174C"/>
  </w:style>
  <w:style w:type="character" w:styleId="Uwydatnienie">
    <w:name w:val="Emphasis"/>
    <w:basedOn w:val="Domylnaczcionkaakapitu"/>
    <w:uiPriority w:val="20"/>
    <w:qFormat/>
    <w:rsid w:val="00D0174C"/>
    <w:rPr>
      <w:i/>
      <w:iCs/>
    </w:rPr>
  </w:style>
  <w:style w:type="character" w:styleId="Pogrubienie">
    <w:name w:val="Strong"/>
    <w:basedOn w:val="Domylnaczcionkaakapitu"/>
    <w:uiPriority w:val="22"/>
    <w:qFormat/>
    <w:rsid w:val="00D0174C"/>
    <w:rPr>
      <w:b/>
      <w:bCs/>
    </w:rPr>
  </w:style>
  <w:style w:type="paragraph" w:styleId="Tekstpodstawowy">
    <w:name w:val="Body Text"/>
    <w:basedOn w:val="Normalny"/>
    <w:link w:val="TekstpodstawowyZnak"/>
    <w:rsid w:val="00D0174C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D0174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D017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D0174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14:ligatures w14:val="none"/>
    </w:rPr>
  </w:style>
  <w:style w:type="paragraph" w:customStyle="1" w:styleId="Default">
    <w:name w:val="Default"/>
    <w:rsid w:val="00D017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customStyle="1" w:styleId="markedcontent">
    <w:name w:val="markedcontent"/>
    <w:basedOn w:val="Domylnaczcionkaakapitu"/>
    <w:rsid w:val="00D0174C"/>
  </w:style>
  <w:style w:type="table" w:customStyle="1" w:styleId="Tabela-Siatka1">
    <w:name w:val="Tabela - Siatka1"/>
    <w:basedOn w:val="Standardowy"/>
    <w:next w:val="Tabela-Siatka"/>
    <w:uiPriority w:val="39"/>
    <w:rsid w:val="00D0174C"/>
    <w:pPr>
      <w:spacing w:after="0" w:line="240" w:lineRule="auto"/>
    </w:pPr>
    <w:rPr>
      <w:rFonts w:ascii="Times New Roman" w:hAnsi="Times New Roman" w:cs="Calibri"/>
      <w:kern w:val="3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uiPriority w:val="99"/>
    <w:rsid w:val="00D0174C"/>
    <w:pPr>
      <w:spacing w:after="120" w:line="276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character" w:customStyle="1" w:styleId="FontStyle46">
    <w:name w:val="Font Style46"/>
    <w:uiPriority w:val="99"/>
    <w:rsid w:val="00D0174C"/>
    <w:rPr>
      <w:rFonts w:ascii="Times New Roman" w:hAnsi="Times New Roman" w:cs="Times New Roman"/>
      <w:color w:val="000000"/>
      <w:sz w:val="22"/>
      <w:szCs w:val="22"/>
    </w:rPr>
  </w:style>
  <w:style w:type="numbering" w:customStyle="1" w:styleId="Zaimportowanystyl2">
    <w:name w:val="Zaimportowany styl 2"/>
    <w:rsid w:val="00D0174C"/>
    <w:pPr>
      <w:numPr>
        <w:numId w:val="1"/>
      </w:numPr>
    </w:pPr>
  </w:style>
  <w:style w:type="numbering" w:customStyle="1" w:styleId="Zaimportowanystyl4">
    <w:name w:val="Zaimportowany styl 4"/>
    <w:rsid w:val="00D0174C"/>
    <w:pPr>
      <w:numPr>
        <w:numId w:val="2"/>
      </w:numPr>
    </w:pPr>
  </w:style>
  <w:style w:type="numbering" w:customStyle="1" w:styleId="Zaimportowanystyl7">
    <w:name w:val="Zaimportowany styl 7"/>
    <w:rsid w:val="00D0174C"/>
    <w:pPr>
      <w:numPr>
        <w:numId w:val="3"/>
      </w:numPr>
    </w:pPr>
  </w:style>
  <w:style w:type="numbering" w:customStyle="1" w:styleId="Zaimportowanystyl1">
    <w:name w:val="Zaimportowany styl 1"/>
    <w:rsid w:val="00D0174C"/>
    <w:pPr>
      <w:numPr>
        <w:numId w:val="4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D0174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17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2143</Words>
  <Characters>12859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3</cp:revision>
  <cp:lastPrinted>2024-10-09T11:31:00Z</cp:lastPrinted>
  <dcterms:created xsi:type="dcterms:W3CDTF">2024-10-09T11:28:00Z</dcterms:created>
  <dcterms:modified xsi:type="dcterms:W3CDTF">2024-10-11T10:56:00Z</dcterms:modified>
</cp:coreProperties>
</file>